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336"/>
        </w:tabs>
        <w:kinsoku/>
        <w:wordWrap/>
        <w:overflowPunct/>
        <w:topLinePunct w:val="0"/>
        <w:autoSpaceDE/>
        <w:autoSpaceDN/>
        <w:bidi w:val="0"/>
        <w:adjustRightInd/>
        <w:snapToGrid/>
        <w:spacing w:line="5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numPr>
          <w:ilvl w:val="0"/>
          <w:numId w:val="0"/>
        </w:numPr>
        <w:tabs>
          <w:tab w:val="left" w:pos="336"/>
        </w:tabs>
        <w:kinsoku/>
        <w:wordWrap/>
        <w:overflowPunct/>
        <w:topLinePunct w:val="0"/>
        <w:autoSpaceDE/>
        <w:autoSpaceDN/>
        <w:bidi w:val="0"/>
        <w:adjustRightInd/>
        <w:snapToGrid/>
        <w:spacing w:line="50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tabs>
          <w:tab w:val="left" w:pos="336"/>
        </w:tabs>
        <w:kinsoku/>
        <w:wordWrap/>
        <w:overflowPunct/>
        <w:topLinePunct w:val="0"/>
        <w:autoSpaceDE/>
        <w:autoSpaceDN/>
        <w:bidi w:val="0"/>
        <w:adjustRightInd/>
        <w:snapToGrid/>
        <w:spacing w:line="500" w:lineRule="exact"/>
        <w:jc w:val="center"/>
        <w:textAlignment w:val="auto"/>
        <w:rPr>
          <w:rFonts w:hint="eastAsia" w:ascii="小标宋" w:hAnsi="小标宋" w:eastAsia="小标宋" w:cs="小标宋"/>
          <w:b w:val="0"/>
          <w:bCs w:val="0"/>
          <w:sz w:val="44"/>
          <w:szCs w:val="44"/>
          <w:lang w:val="en-US" w:eastAsia="zh-CN"/>
        </w:rPr>
      </w:pPr>
      <w:r>
        <w:rPr>
          <w:rFonts w:hint="eastAsia" w:ascii="小标宋" w:hAnsi="小标宋" w:eastAsia="小标宋" w:cs="小标宋"/>
          <w:b w:val="0"/>
          <w:bCs w:val="0"/>
          <w:sz w:val="44"/>
          <w:szCs w:val="44"/>
          <w:lang w:val="en-US" w:eastAsia="zh-CN"/>
        </w:rPr>
        <w:t>武汉再生资源商务大厦项目基本信息</w:t>
      </w:r>
    </w:p>
    <w:p>
      <w:pPr>
        <w:keepNext w:val="0"/>
        <w:keepLines w:val="0"/>
        <w:pageBreakBefore w:val="0"/>
        <w:widowControl w:val="0"/>
        <w:numPr>
          <w:ilvl w:val="0"/>
          <w:numId w:val="0"/>
        </w:numPr>
        <w:tabs>
          <w:tab w:val="left" w:pos="336"/>
        </w:tabs>
        <w:kinsoku/>
        <w:wordWrap/>
        <w:overflowPunct/>
        <w:topLinePunct w:val="0"/>
        <w:autoSpaceDE/>
        <w:autoSpaceDN/>
        <w:bidi w:val="0"/>
        <w:adjustRightInd/>
        <w:snapToGrid/>
        <w:spacing w:line="500" w:lineRule="exact"/>
        <w:jc w:val="center"/>
        <w:textAlignment w:val="auto"/>
        <w:rPr>
          <w:rFonts w:hint="eastAsia" w:ascii="小标宋" w:hAnsi="小标宋" w:eastAsia="小标宋" w:cs="小标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1.工程名称：</w:t>
      </w:r>
      <w:r>
        <w:rPr>
          <w:rFonts w:hint="eastAsia" w:ascii="仿宋_GB2312" w:hAnsi="仿宋_GB2312" w:eastAsia="仿宋_GB2312" w:cs="仿宋_GB2312"/>
          <w:sz w:val="32"/>
          <w:szCs w:val="32"/>
        </w:rPr>
        <w:t>新建商务、商业及绿地项目（武汉再生资源商务大厦项目）。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2.工程地点：</w:t>
      </w:r>
      <w:r>
        <w:rPr>
          <w:rFonts w:hint="eastAsia" w:ascii="仿宋_GB2312" w:hAnsi="仿宋_GB2312" w:eastAsia="仿宋_GB2312" w:cs="仿宋_GB2312"/>
          <w:sz w:val="32"/>
          <w:szCs w:val="32"/>
        </w:rPr>
        <w:t>武汉市江岸区解放大道1675号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.工程内容：</w:t>
      </w:r>
      <w:r>
        <w:rPr>
          <w:rFonts w:hint="eastAsia" w:ascii="仿宋_GB2312" w:hAnsi="仿宋_GB2312" w:eastAsia="仿宋_GB2312" w:cs="仿宋_GB2312"/>
          <w:sz w:val="32"/>
          <w:szCs w:val="32"/>
        </w:rPr>
        <w:t>新建武汉再生资源商务大厦A、B座、三层地下室及公园绿地、防护绿地、树桥等。建筑总面积73113.19㎡，其中：地上建筑面积45175.62㎡（A座21层，建筑面积30488.62㎡，B座20层，建筑面积14687㎡），地下室三层，建筑面积27937.57㎡。另公园绿2594.48㎡，防护绿地面积1512.15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4.工程承包范围：</w:t>
      </w:r>
      <w:r>
        <w:rPr>
          <w:rFonts w:hint="eastAsia" w:ascii="仿宋_GB2312" w:hAnsi="仿宋_GB2312" w:eastAsia="仿宋_GB2312" w:cs="仿宋_GB2312"/>
          <w:sz w:val="32"/>
          <w:szCs w:val="32"/>
        </w:rPr>
        <w:t>本项目地上和地下建筑物、构筑物及相关配套设施的施工图纸和工程量清单范围内的全部工程和安全文明施工、维护、设备和材料采购和安装、试运行、竣工验收、后期移交、以及缺陷责任保修和工程服务及协调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(1)公共专业工程：基坑支护（基坑降排水）、土石方工程；桩基工程等。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工程：砌筑工程（砌体及二次结构等）；混凝土及钢筋混凝土工程（地下室结构、主体结构、预制混凝土构件等）；金属结构工程（钢结构工程等）；木结构工程；门窗工程；屋面及防水工程；保温、隔热、防腐工程；人防工程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装饰工程：楼地面装饰工程；墙、柱面、装饰工程（内、外墙装饰工程等）；幕墙工程；天棚工程；油漆、涂料、裱糊工程；其他装饰工程（扶手、栏杆、栏板装饰及百叶工程等）；拆除工程；成品保护工程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装工程：电气设备安装工程；建筑智能化工程（包括计算机及网络、建筑设备自动化系统、有线电视、音频视频系统、安全防范系统等）；通风空调工程；消防工程、给排水、采暖、燃气工程；通信设备及线路工程；刷油、防腐蚀、绝热工程；电梯及电动扶梯工程；抗震支架；泛光照明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(5)室内外工程：道路、树桥工程；标志及标示工程；管网工程；路灯工程等。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(6)园林绿化工程：绿化工程；海绵城市；园路、园桥工程；园林景观工程；园林养护工程等。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(7)红线范围外规划设计条件中要求的接驳通道（包括接驳通道除基坑支护工程外的桩基工程、主体结构工程、装饰工程、安装工程、消防工程等全部内容）等。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工作内容包括本工程设计范围内所有工程内容的施工，具体以施工图纸和工程量清单及发包人确认后实施为准(包括增加或减少工程范围等)，承包人不得因此而提出任何异议或要求任何形式的补偿。其中项目与市政接驳通道的施工等涉及到与政府相关部门搭接的工程时，待发包人与政府相关部门确定施工范围后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5.工期要求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计划开工日期:</w:t>
      </w:r>
      <w:bookmarkStart w:id="0" w:name="OLE_LINK2"/>
      <w:bookmarkStart w:id="1" w:name="OLE_LINK1"/>
      <w:r>
        <w:rPr>
          <w:rFonts w:hint="eastAsia" w:ascii="仿宋_GB2312" w:hAnsi="仿宋_GB2312" w:eastAsia="仿宋_GB2312" w:cs="仿宋_GB2312"/>
          <w:sz w:val="32"/>
          <w:szCs w:val="32"/>
          <w:highlight w:val="none"/>
        </w:rPr>
        <w:t>计划工期：910日历天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计划开工日期：202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月28日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计划竣工日期：202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月22日；具体招标人通知为准。</w:t>
      </w:r>
    </w:p>
    <w:bookmarkEnd w:id="0"/>
    <w:bookmarkEnd w:id="1"/>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误期违约赔偿金额：误期赔偿费标准为</w:t>
      </w:r>
      <w:r>
        <w:rPr>
          <w:rFonts w:hint="eastAsia" w:ascii="仿宋_GB2312" w:hAnsi="仿宋_GB2312" w:eastAsia="仿宋_GB2312" w:cs="仿宋_GB2312"/>
          <w:color w:val="auto"/>
          <w:sz w:val="32"/>
          <w:szCs w:val="32"/>
          <w:highlight w:val="none"/>
          <w:lang w:val="en-US" w:eastAsia="zh-CN"/>
        </w:rPr>
        <w:t>50000元/天。</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kern w:val="2"/>
          <w:sz w:val="30"/>
          <w:szCs w:val="30"/>
          <w:lang w:val="en-US" w:eastAsia="zh-CN" w:bidi="ar-SA"/>
        </w:rPr>
        <w:t>6.质量目标：</w:t>
      </w:r>
      <w:r>
        <w:rPr>
          <w:rFonts w:hint="eastAsia" w:ascii="仿宋_GB2312" w:hAnsi="仿宋_GB2312" w:eastAsia="仿宋_GB2312" w:cs="仿宋_GB2312"/>
          <w:kern w:val="2"/>
          <w:sz w:val="32"/>
          <w:szCs w:val="32"/>
          <w:highlight w:val="none"/>
          <w:lang w:val="en-US" w:eastAsia="zh-CN" w:bidi="ar-SA"/>
        </w:rPr>
        <w:t>合格，满足国家相关法律法规、规定要求和技术标准并通过验收，确保“黄鹤杯”。对质量目标的承诺：承包商的质量未达标违约金为100万元。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kern w:val="2"/>
          <w:sz w:val="30"/>
          <w:szCs w:val="30"/>
          <w:lang w:val="en-US" w:eastAsia="zh-CN" w:bidi="ar-SA"/>
        </w:rPr>
        <w:t>7.安全文明要求：</w:t>
      </w:r>
      <w:r>
        <w:rPr>
          <w:rFonts w:hint="eastAsia" w:ascii="仿宋_GB2312" w:hAnsi="仿宋_GB2312" w:eastAsia="仿宋_GB2312" w:cs="仿宋_GB2312"/>
          <w:kern w:val="2"/>
          <w:sz w:val="32"/>
          <w:szCs w:val="32"/>
          <w:highlight w:val="none"/>
          <w:lang w:val="en-US" w:eastAsia="zh-CN" w:bidi="ar-SA"/>
        </w:rPr>
        <w:t>安全生产管理目标：达到市级以上安全生产标准化工地标准，必须达到《建筑施工安全检查标准》（JGJ29-2011）等相关规定。对安全生产目标的承诺：达不到罚款合同总价的1%。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文明施工管理目标：达到市级以上文明施工样板工地标准。对文明施工目标的承诺：达不到罚款50万元。</w:t>
      </w:r>
    </w:p>
    <w:p>
      <w:pPr>
        <w:keepNext w:val="0"/>
        <w:keepLines w:val="0"/>
        <w:pageBreakBefore w:val="0"/>
        <w:widowControl w:val="0"/>
        <w:kinsoku/>
        <w:wordWrap/>
        <w:overflowPunct/>
        <w:topLinePunct w:val="0"/>
        <w:bidi w:val="0"/>
        <w:spacing w:line="500" w:lineRule="exact"/>
        <w:ind w:right="0" w:rightChars="0"/>
        <w:rPr>
          <w:rFonts w:hint="eastAsia" w:ascii="仿宋_GB2312" w:hAnsi="仿宋_GB2312" w:eastAsia="仿宋_GB2312" w:cs="仿宋_GB2312"/>
          <w:sz w:val="32"/>
          <w:szCs w:val="32"/>
        </w:rPr>
      </w:pPr>
      <w:bookmarkStart w:id="2" w:name="_GoBack"/>
      <w:bookmarkEnd w:id="2"/>
    </w:p>
    <w:sectPr>
      <w:footerReference r:id="rId3" w:type="default"/>
      <w:pgSz w:w="11906" w:h="16838"/>
      <w:pgMar w:top="1417" w:right="1247" w:bottom="1417" w:left="17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F77C22-1BBE-4510-B5B3-BB691C255D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65D697-886F-4C88-9BB8-C7AAA07AE4BF}"/>
  </w:font>
  <w:font w:name="Cambria">
    <w:panose1 w:val="02040503050406030204"/>
    <w:charset w:val="00"/>
    <w:family w:val="roman"/>
    <w:pitch w:val="default"/>
    <w:sig w:usb0="E00006FF" w:usb1="420024FF" w:usb2="02000000" w:usb3="00000000" w:csb0="2000019F" w:csb1="00000000"/>
  </w:font>
  <w:font w:name="小标宋">
    <w:panose1 w:val="03000509000000000000"/>
    <w:charset w:val="86"/>
    <w:family w:val="auto"/>
    <w:pitch w:val="default"/>
    <w:sig w:usb0="00000001" w:usb1="080E0000" w:usb2="00000000" w:usb3="00000000" w:csb0="00040000" w:csb1="00000000"/>
    <w:embedRegular r:id="rId3" w:fontKey="{12D9AB1A-2C67-4E42-B8B7-A474DAE2F728}"/>
  </w:font>
  <w:font w:name="仿宋_GB2312">
    <w:panose1 w:val="02010609030101010101"/>
    <w:charset w:val="86"/>
    <w:family w:val="auto"/>
    <w:pitch w:val="default"/>
    <w:sig w:usb0="00000001" w:usb1="080E0000" w:usb2="00000000" w:usb3="00000000" w:csb0="00040000" w:csb1="00000000"/>
    <w:embedRegular r:id="rId4" w:fontKey="{89101D72-4EA0-4B45-A58B-5CBB35903862}"/>
  </w:font>
  <w:font w:name="楷体">
    <w:panose1 w:val="02010609060101010101"/>
    <w:charset w:val="86"/>
    <w:family w:val="auto"/>
    <w:pitch w:val="default"/>
    <w:sig w:usb0="800002BF" w:usb1="38CF7CFA" w:usb2="00000016" w:usb3="00000000" w:csb0="00040001" w:csb1="00000000"/>
    <w:embedRegular r:id="rId5" w:fontKey="{3CD3A68B-13F2-4730-AEDF-89E67A780B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DY1ZmQ2OWQ0YjY1MjU0NGU4ODgwZjFkOGQ0YmUifQ=="/>
  </w:docVars>
  <w:rsids>
    <w:rsidRoot w:val="00000000"/>
    <w:rsid w:val="0DD405FA"/>
    <w:rsid w:val="0F937B9F"/>
    <w:rsid w:val="1565705D"/>
    <w:rsid w:val="16A0286E"/>
    <w:rsid w:val="187A7FF0"/>
    <w:rsid w:val="1EB3600A"/>
    <w:rsid w:val="27F136FF"/>
    <w:rsid w:val="2F3740ED"/>
    <w:rsid w:val="3B68496C"/>
    <w:rsid w:val="3BA4237C"/>
    <w:rsid w:val="4093139F"/>
    <w:rsid w:val="42A930FC"/>
    <w:rsid w:val="49090450"/>
    <w:rsid w:val="66C254D3"/>
    <w:rsid w:val="68CD2DF1"/>
    <w:rsid w:val="70BD004A"/>
    <w:rsid w:val="71B40FF2"/>
    <w:rsid w:val="756421FA"/>
    <w:rsid w:val="756A68AA"/>
    <w:rsid w:val="7B582236"/>
    <w:rsid w:val="7C2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eastAsia="宋体" w:cs="Times New Roman"/>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rFonts w:ascii="Calibri" w:hAnsi="Calibri" w:cs="黑体"/>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customStyle="1" w:styleId="7">
    <w:name w:val="List Paragraph"/>
    <w:basedOn w:val="1"/>
    <w:qFormat/>
    <w:uiPriority w:val="34"/>
    <w:pPr>
      <w:ind w:firstLine="200" w:firstLineChars="200"/>
    </w:pPr>
    <w:rPr>
      <w:rFonts w:ascii="Calibri" w:hAnsi="Calibri"/>
      <w:szCs w:val="22"/>
    </w:rPr>
  </w:style>
  <w:style w:type="paragraph" w:customStyle="1" w:styleId="8">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2023-04-18T01:18:00Z</dcterms:created>
  <dc:creator>李爱美</dc:creator>
  <cp:lastModifiedBy>来自星星的你二大爷</cp:lastModifiedBy>
  <cp:lastPrinted>2023-11-28T03:19:00Z</cp:lastPrinted>
  <dcterms:modified xsi:type="dcterms:W3CDTF">2023-11-28T03:31:01Z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2F7329774F3A46838F3D873C2EF225BB</vt:lpwstr>
  </property>
</Properties>
</file>