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kern w:val="0"/>
          <w:sz w:val="44"/>
          <w:szCs w:val="44"/>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autoSpaceDE w:val="0"/>
        <w:autoSpaceDN w:val="0"/>
        <w:adjustRightInd w:val="0"/>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高青县人才公寓分配评分标准</w:t>
      </w:r>
    </w:p>
    <w:p>
      <w:pPr>
        <w:autoSpaceDE w:val="0"/>
        <w:autoSpaceDN w:val="0"/>
        <w:adjustRightInd w:val="0"/>
        <w:spacing w:line="560" w:lineRule="exact"/>
        <w:jc w:val="center"/>
        <w:rPr>
          <w:rFonts w:hint="default" w:ascii="Times New Roman" w:hAnsi="Times New Roman" w:eastAsia="方正小标宋_GBK" w:cs="Times New Roman"/>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一、评分标准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高青县人才公寓分配评分标准由基础分和附加分两部分组成。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（一）基础分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1.中国科学院院士和中国工程院院士(100分)。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2.国家“重点人才工程” “万人计划”入选者、“百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相当于上述层级的领军人才（97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省份相当于上述层级的人才（95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4.正高职称人员（88-93分）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（1）正高职称且具有博士学位人员（93分）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（2）正高职称且具有硕士学位人员（91分）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（3）正高职称且具有学士学位人员（89分）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（4）正高职称人员（88分）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5.淄博英才计划人选;淄博市高端外国专家计划人选;市有突出贡献的中青年专家（85分）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6.博士、副高职称、高级技师等相应层级人员（76-83分）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（1）副高职称且具有博士学位人员（83分）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（2）博士和博士后（81分）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（3）副高职称且具有硕士学位（80分）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（4）副高职称且具有学士学位人员（79分）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（5）副高职称人员（77分）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（6）高级技师（76分）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7.硕士、技师（68-73分）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（1）中级职称且具有硕士学位（73分）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（2）硕士（71分）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（3）技师（68分）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8.本科、中级职称、高级工等相应层级人员（59-65分）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（1）中级职称且具有学士学位人员（65分）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中级职称（63</w:t>
      </w:r>
      <w:bookmarkStart w:id="0" w:name="_GoBack"/>
      <w:bookmarkEnd w:id="0"/>
      <w:r>
        <w:rPr>
          <w:rFonts w:hint="eastAsia" w:ascii="Times New Roman" w:hAnsi="Times New Roman" w:eastAsia="仿宋_GB2312" w:cs="Times New Roman"/>
          <w:kern w:val="0"/>
          <w:sz w:val="32"/>
          <w:szCs w:val="32"/>
          <w:lang w:val="en-US" w:eastAsia="zh-CN"/>
        </w:rPr>
        <w:t>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）本科毕业生（62分）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）高级工（59分）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9.大专学历、初级职称、中级工等相应层级人员（50-56分）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（1）初级职称且具有大专学历人员（56分）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初级职称（54分）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）大专学历人员（53分）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）中级工（50分）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以上各项评分条件中，人才在同一项中符合多种条件的，按最高分项计分，不累计计算。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（二）附加分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1.工作年限。申请人来我县工作时间（2019年11月21日以后）每满1个月加0.05分。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2.签订合同年限。申请人与我县用人单位签订劳动合同（不得进行合同变更）期限每满1年加0.05分，最多不超过1分。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3.与引进人才配偶相关的事项，最高10分。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（1）配偶在我县工作且同时具有正高职称和博士学位（10分）；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（2）配偶在我县工作同时具有正高职称和硕士学位（9分）；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（3）配偶在我县工作且具有正高职称（8分）；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（4）配偶在我县工作且具有博士学位（6分）；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（5）配偶在我县工作且同时具有副高职称和硕士学位（5分）；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（6）配偶在我县工作且具有副高职称（4分）；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（7）配偶在我县工作且具有硕士学位（2分）；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（8）配偶在我县工作且具有中级职称或学士学位（1分）。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以上均含相应层级人员，配偶来我县工作年限、签订合同年限不再加分。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二、排序规则</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sz w:val="32"/>
          <w:szCs w:val="32"/>
        </w:rPr>
        <w:t>评分排序以申请人人才类别层级高的优先，从高层级人才到较低层级人才依次排序，同一层级从高分到低分确定顺序；分值相同的，先按照学历高低进行排序，排序后分值相同的，再按照夫妻双方均符合人才公寓申请条件优先进行排序。分值仍相同的，依次按照职称高低、工作时间长短（精确到天）进行排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（二）申请人同时符合不同人才层级条件的，不累计计分，按照其所具备的最高类别层级计分排序。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（三）符合申请条件的人才申请人才公寓时，取得全日制后续学历的，经认定后，可按照最后取得的最高学历申请人才公寓并对应相应的类别层级进行计分。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（四）排序最终得分为基础分和附加分之和，按照最终得分确定排序结果，排序结果即为选房顺序。</w:t>
      </w:r>
    </w:p>
    <w:p>
      <w:pPr>
        <w:widowControl/>
        <w:spacing w:line="560" w:lineRule="exact"/>
        <w:ind w:firstLine="620" w:firstLineChars="200"/>
        <w:jc w:val="left"/>
        <w:rPr>
          <w:rFonts w:ascii="Times New Roman" w:hAnsi="Times New Roman"/>
        </w:rPr>
      </w:pPr>
      <w:r>
        <w:rPr>
          <w:rFonts w:ascii="Times New Roman" w:hAnsi="Times New Roman" w:eastAsia="黑体"/>
          <w:color w:val="000000"/>
          <w:kern w:val="0"/>
          <w:sz w:val="31"/>
          <w:szCs w:val="31"/>
          <w:lang w:bidi="ar"/>
        </w:rPr>
        <w:t xml:space="preserve">三、其他说明 </w:t>
      </w: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lang w:bidi="ar"/>
        </w:rPr>
        <w:t xml:space="preserve">（一）人才类别层级高的申请人可自愿申请低于核定的应享受的住房建筑面积标准的房源，享受面积减少的部分不再予以退还差价；在房源有剩余的情况下，人才类别层级低的申请人按照排序结果可以申请高于核定的应享受的住房建筑面积标准的房源，超出面积的部分按照同区域同等条件商品住房价格购买。 </w:t>
      </w:r>
    </w:p>
    <w:p>
      <w:pPr>
        <w:widowControl/>
        <w:spacing w:line="560" w:lineRule="exact"/>
        <w:ind w:firstLine="620" w:firstLineChars="200"/>
        <w:jc w:val="left"/>
        <w:rPr>
          <w:rFonts w:ascii="Times New Roman" w:hAnsi="Times New Roman"/>
        </w:rPr>
      </w:pPr>
      <w:r>
        <w:rPr>
          <w:rFonts w:ascii="Times New Roman" w:hAnsi="Times New Roman" w:eastAsia="仿宋_GB2312"/>
          <w:color w:val="000000"/>
          <w:kern w:val="0"/>
          <w:sz w:val="31"/>
          <w:szCs w:val="31"/>
          <w:lang w:bidi="ar"/>
        </w:rPr>
        <w:t xml:space="preserve">（二）选房分别按照人才类别层级的排序结果依次进行挑选，选房时连续 </w:t>
      </w:r>
      <w:r>
        <w:rPr>
          <w:rFonts w:ascii="Times New Roman" w:hAnsi="Times New Roman"/>
          <w:color w:val="000000"/>
          <w:kern w:val="0"/>
          <w:sz w:val="31"/>
          <w:szCs w:val="31"/>
          <w:lang w:bidi="ar"/>
        </w:rPr>
        <w:t xml:space="preserve">3 </w:t>
      </w:r>
      <w:r>
        <w:rPr>
          <w:rFonts w:ascii="Times New Roman" w:hAnsi="Times New Roman" w:eastAsia="仿宋_GB2312"/>
          <w:color w:val="000000"/>
          <w:kern w:val="0"/>
          <w:sz w:val="31"/>
          <w:szCs w:val="31"/>
          <w:lang w:bidi="ar"/>
        </w:rPr>
        <w:t>次呼叫入围申请人顺序号及姓名未应答的，视同该申请人未到场，由下一序号申请人递补，同时，将该申请人列在选房名单的末位进行分配，选房截止时仍未到场的，视为自动放弃，</w:t>
      </w:r>
      <w:r>
        <w:rPr>
          <w:rFonts w:ascii="Times New Roman" w:hAnsi="Times New Roman"/>
          <w:color w:val="000000"/>
          <w:kern w:val="0"/>
          <w:sz w:val="31"/>
          <w:szCs w:val="31"/>
          <w:lang w:bidi="ar"/>
        </w:rPr>
        <w:t xml:space="preserve">2 </w:t>
      </w:r>
      <w:r>
        <w:rPr>
          <w:rFonts w:ascii="Times New Roman" w:hAnsi="Times New Roman" w:eastAsia="仿宋_GB2312"/>
          <w:color w:val="000000"/>
          <w:kern w:val="0"/>
          <w:sz w:val="31"/>
          <w:szCs w:val="31"/>
          <w:lang w:bidi="ar"/>
        </w:rPr>
        <w:t xml:space="preserve">年内不再受理其人才公寓保障申请。选房后因入围人员弃权导致房源有剩余的，按照申请人员的排序结果，依次递补进行选房。 </w:t>
      </w:r>
    </w:p>
    <w:p>
      <w:pPr>
        <w:spacing w:line="560" w:lineRule="exact"/>
        <w:ind w:firstLine="420" w:firstLineChars="200"/>
        <w:rPr>
          <w:rFonts w:ascii="Times New Roman" w:hAnsi="Times New Roman"/>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bidi w:val="0"/>
        <w:snapToGrid/>
        <w:spacing w:line="560" w:lineRule="exact"/>
        <w:textAlignment w:val="auto"/>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jM5YThhNDM0YTI1YTQ5ZjYyODMwNmVkMDQxOTIifQ=="/>
  </w:docVars>
  <w:rsids>
    <w:rsidRoot w:val="00000000"/>
    <w:rsid w:val="3CA60663"/>
    <w:rsid w:val="4551062C"/>
    <w:rsid w:val="511A4451"/>
    <w:rsid w:val="70EE5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1971</Words>
  <Characters>2041</Characters>
  <Lines>0</Lines>
  <Paragraphs>0</Paragraphs>
  <TotalTime>2</TotalTime>
  <ScaleCrop>false</ScaleCrop>
  <LinksUpToDate>false</LinksUpToDate>
  <CharactersWithSpaces>2050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2023-02-16T06:16:58Z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9695C0582A48408DB1C197F36CB44A26</vt:lpwstr>
  </property>
</Properties>
</file>