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47E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1.从江县谷坪乡高武村股份经济合作社公开招聘岗位及任职条件一览表.</w:t>
      </w:r>
      <w:r>
        <w:rPr>
          <w:rStyle w:val="4"/>
          <w:rFonts w:hint="eastAsia" w:ascii="Microsoft YaHei UI" w:hAnsi="Microsoft YaHei UI" w:eastAsia="Microsoft YaHei UI" w:cs="Microsoft YaHei UI"/>
          <w:i w:val="0"/>
          <w:iCs w:val="0"/>
          <w:caps w:val="0"/>
          <w:color w:val="auto"/>
          <w:spacing w:val="8"/>
          <w:kern w:val="0"/>
          <w:sz w:val="22"/>
          <w:szCs w:val="22"/>
          <w:shd w:val="clear" w:fill="FFFFFF"/>
          <w:lang w:val="en-US" w:eastAsia="zh-CN" w:bidi="ar"/>
        </w:rPr>
        <w:t>docx</w:t>
      </w:r>
    </w:p>
    <w:tbl>
      <w:tblPr>
        <w:tblStyle w:val="2"/>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4"/>
        <w:gridCol w:w="640"/>
        <w:gridCol w:w="611"/>
        <w:gridCol w:w="861"/>
        <w:gridCol w:w="780"/>
        <w:gridCol w:w="3099"/>
        <w:gridCol w:w="3476"/>
        <w:gridCol w:w="344"/>
      </w:tblGrid>
      <w:tr w14:paraId="4FF1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gridSpan w:val="8"/>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453E430D">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60" w:lineRule="exact"/>
              <w:ind w:left="0" w:right="0"/>
              <w:jc w:val="center"/>
              <w:textAlignment w:val="auto"/>
              <w:rPr>
                <w:color w:val="auto"/>
                <w:sz w:val="18"/>
                <w:szCs w:val="21"/>
              </w:rPr>
            </w:pPr>
            <w:r>
              <w:rPr>
                <w:rFonts w:hint="eastAsia" w:ascii="宋体" w:hAnsi="宋体" w:eastAsia="宋体" w:cs="宋体"/>
                <w:color w:val="auto"/>
                <w:kern w:val="0"/>
                <w:sz w:val="21"/>
                <w:szCs w:val="21"/>
                <w:lang w:val="en-US" w:eastAsia="zh-CN" w:bidi="ar"/>
              </w:rPr>
              <w:t>从江县谷坪乡高武村股份经济合作</w:t>
            </w:r>
            <w:r>
              <w:rPr>
                <w:rFonts w:ascii="宋体" w:hAnsi="宋体" w:eastAsia="宋体" w:cs="宋体"/>
                <w:color w:val="auto"/>
                <w:kern w:val="0"/>
                <w:sz w:val="21"/>
                <w:szCs w:val="21"/>
                <w:lang w:val="en-US" w:eastAsia="zh-CN" w:bidi="ar"/>
              </w:rPr>
              <w:t>公开招聘岗位及任职条件一览表</w:t>
            </w:r>
          </w:p>
        </w:tc>
      </w:tr>
      <w:tr w14:paraId="255B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vMerge w:val="restart"/>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70FA3E70">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序号</w:t>
            </w:r>
          </w:p>
        </w:tc>
        <w:tc>
          <w:tcPr>
            <w:tcW w:w="0" w:type="auto"/>
            <w:vMerge w:val="restart"/>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1D5B9898">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岗位名称</w:t>
            </w:r>
          </w:p>
        </w:tc>
        <w:tc>
          <w:tcPr>
            <w:tcW w:w="611" w:type="dxa"/>
            <w:vMerge w:val="restart"/>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6985181C">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招聘人数</w:t>
            </w:r>
          </w:p>
        </w:tc>
        <w:tc>
          <w:tcPr>
            <w:tcW w:w="861"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478AB1C1">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p>
        </w:tc>
        <w:tc>
          <w:tcPr>
            <w:tcW w:w="0" w:type="auto"/>
            <w:gridSpan w:val="3"/>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76FD5773">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任职资格</w:t>
            </w:r>
          </w:p>
        </w:tc>
        <w:tc>
          <w:tcPr>
            <w:tcW w:w="0" w:type="auto"/>
            <w:vMerge w:val="restart"/>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0E610B26">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6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备注</w:t>
            </w:r>
          </w:p>
        </w:tc>
      </w:tr>
      <w:tr w14:paraId="2C7E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6" w:hRule="atLeast"/>
          <w:jc w:val="center"/>
        </w:trPr>
        <w:tc>
          <w:tcPr>
            <w:tcW w:w="0" w:type="auto"/>
            <w:vMerge w:val="continue"/>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6B070EB5">
            <w:pPr>
              <w:keepNext w:val="0"/>
              <w:keepLines w:val="0"/>
              <w:pageBreakBefore w:val="0"/>
              <w:widowControl/>
              <w:kinsoku/>
              <w:overflowPunct/>
              <w:topLinePunct w:val="0"/>
              <w:autoSpaceDE/>
              <w:autoSpaceDN/>
              <w:bidi w:val="0"/>
              <w:adjustRightInd/>
              <w:snapToGrid/>
              <w:spacing w:after="0" w:line="320" w:lineRule="exact"/>
              <w:ind w:left="0"/>
              <w:textAlignment w:val="auto"/>
              <w:rPr>
                <w:rFonts w:hint="eastAsia" w:ascii="宋体"/>
                <w:color w:val="auto"/>
                <w:sz w:val="21"/>
                <w:szCs w:val="21"/>
              </w:rPr>
            </w:pPr>
          </w:p>
        </w:tc>
        <w:tc>
          <w:tcPr>
            <w:tcW w:w="0" w:type="auto"/>
            <w:vMerge w:val="continue"/>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648D4DE4">
            <w:pPr>
              <w:keepNext w:val="0"/>
              <w:keepLines w:val="0"/>
              <w:pageBreakBefore w:val="0"/>
              <w:widowControl/>
              <w:kinsoku/>
              <w:overflowPunct/>
              <w:topLinePunct w:val="0"/>
              <w:autoSpaceDE/>
              <w:autoSpaceDN/>
              <w:bidi w:val="0"/>
              <w:adjustRightInd/>
              <w:snapToGrid/>
              <w:spacing w:after="0" w:line="320" w:lineRule="exact"/>
              <w:ind w:left="0"/>
              <w:textAlignment w:val="auto"/>
              <w:rPr>
                <w:rFonts w:hint="eastAsia" w:ascii="宋体"/>
                <w:color w:val="auto"/>
                <w:sz w:val="21"/>
                <w:szCs w:val="21"/>
              </w:rPr>
            </w:pPr>
          </w:p>
        </w:tc>
        <w:tc>
          <w:tcPr>
            <w:tcW w:w="611" w:type="dxa"/>
            <w:vMerge w:val="continue"/>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63D0F268">
            <w:pPr>
              <w:keepNext w:val="0"/>
              <w:keepLines w:val="0"/>
              <w:pageBreakBefore w:val="0"/>
              <w:widowControl/>
              <w:kinsoku/>
              <w:overflowPunct/>
              <w:topLinePunct w:val="0"/>
              <w:autoSpaceDE/>
              <w:autoSpaceDN/>
              <w:bidi w:val="0"/>
              <w:adjustRightInd/>
              <w:snapToGrid/>
              <w:spacing w:after="0" w:line="320" w:lineRule="exact"/>
              <w:ind w:left="0"/>
              <w:textAlignment w:val="auto"/>
              <w:rPr>
                <w:rFonts w:hint="eastAsia" w:ascii="宋体"/>
                <w:color w:val="auto"/>
                <w:sz w:val="21"/>
                <w:szCs w:val="21"/>
              </w:rPr>
            </w:pPr>
          </w:p>
        </w:tc>
        <w:tc>
          <w:tcPr>
            <w:tcW w:w="861"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0835864F">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年龄要求</w:t>
            </w:r>
          </w:p>
        </w:tc>
        <w:tc>
          <w:tcPr>
            <w:tcW w:w="780"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6EB48BF0">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center"/>
              <w:textAlignment w:val="auto"/>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学历</w:t>
            </w:r>
          </w:p>
          <w:p w14:paraId="761D2729">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center"/>
              <w:textAlignment w:val="auto"/>
              <w:rPr>
                <w:color w:val="auto"/>
                <w:sz w:val="18"/>
                <w:szCs w:val="21"/>
              </w:rPr>
            </w:pPr>
            <w:r>
              <w:rPr>
                <w:rFonts w:ascii="宋体" w:hAnsi="宋体" w:eastAsia="宋体" w:cs="宋体"/>
                <w:color w:val="auto"/>
                <w:kern w:val="0"/>
                <w:sz w:val="21"/>
                <w:szCs w:val="21"/>
                <w:lang w:val="en-US" w:eastAsia="zh-CN" w:bidi="ar"/>
              </w:rPr>
              <w:t>要求</w:t>
            </w:r>
          </w:p>
        </w:tc>
        <w:tc>
          <w:tcPr>
            <w:tcW w:w="3099"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0ADF6726">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center"/>
              <w:textAlignment w:val="auto"/>
              <w:rPr>
                <w:color w:val="auto"/>
                <w:sz w:val="18"/>
                <w:szCs w:val="21"/>
              </w:rPr>
            </w:pPr>
            <w:r>
              <w:rPr>
                <w:rFonts w:ascii="宋体" w:hAnsi="宋体" w:eastAsia="宋体" w:cs="宋体"/>
                <w:color w:val="auto"/>
                <w:kern w:val="0"/>
                <w:sz w:val="21"/>
                <w:szCs w:val="21"/>
                <w:lang w:val="en-US" w:eastAsia="zh-CN" w:bidi="ar"/>
              </w:rPr>
              <w:t>岗位职责</w:t>
            </w:r>
          </w:p>
        </w:tc>
        <w:tc>
          <w:tcPr>
            <w:tcW w:w="0" w:type="auto"/>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06DD4FA3">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center"/>
              <w:textAlignment w:val="auto"/>
              <w:rPr>
                <w:color w:val="auto"/>
                <w:sz w:val="18"/>
                <w:szCs w:val="21"/>
              </w:rPr>
            </w:pPr>
            <w:r>
              <w:rPr>
                <w:rFonts w:ascii="宋体" w:hAnsi="宋体" w:eastAsia="宋体" w:cs="宋体"/>
                <w:color w:val="auto"/>
                <w:kern w:val="0"/>
                <w:sz w:val="21"/>
                <w:szCs w:val="21"/>
                <w:lang w:val="en-US" w:eastAsia="zh-CN" w:bidi="ar"/>
              </w:rPr>
              <w:t>业 绩 指 标</w:t>
            </w:r>
          </w:p>
        </w:tc>
        <w:tc>
          <w:tcPr>
            <w:tcW w:w="0" w:type="auto"/>
            <w:vMerge w:val="continue"/>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50865D32">
            <w:pPr>
              <w:keepNext w:val="0"/>
              <w:keepLines w:val="0"/>
              <w:pageBreakBefore w:val="0"/>
              <w:kinsoku/>
              <w:overflowPunct/>
              <w:topLinePunct w:val="0"/>
              <w:autoSpaceDE/>
              <w:autoSpaceDN/>
              <w:bidi w:val="0"/>
              <w:adjustRightInd/>
              <w:snapToGrid/>
              <w:spacing w:after="0" w:line="560" w:lineRule="exact"/>
              <w:ind w:left="0"/>
              <w:textAlignment w:val="auto"/>
              <w:rPr>
                <w:rFonts w:hint="eastAsia" w:ascii="宋体"/>
                <w:color w:val="auto"/>
                <w:sz w:val="21"/>
                <w:szCs w:val="21"/>
              </w:rPr>
            </w:pPr>
          </w:p>
        </w:tc>
      </w:tr>
      <w:tr w14:paraId="171A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7CBAFECC">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1</w:t>
            </w:r>
          </w:p>
        </w:tc>
        <w:tc>
          <w:tcPr>
            <w:tcW w:w="0" w:type="auto"/>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56EE43DC">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hint="eastAsia" w:ascii="宋体" w:hAnsi="宋体" w:eastAsia="宋体" w:cs="宋体"/>
                <w:color w:val="auto"/>
                <w:kern w:val="0"/>
                <w:sz w:val="21"/>
                <w:szCs w:val="21"/>
                <w:lang w:val="en-US" w:eastAsia="zh-CN" w:bidi="ar"/>
              </w:rPr>
              <w:t>专职副理事长</w:t>
            </w:r>
          </w:p>
        </w:tc>
        <w:tc>
          <w:tcPr>
            <w:tcW w:w="611"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1DC1BD07">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1</w:t>
            </w:r>
          </w:p>
        </w:tc>
        <w:tc>
          <w:tcPr>
            <w:tcW w:w="861"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7BB041A9">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hint="eastAsia" w:ascii="宋体" w:hAnsi="宋体" w:eastAsia="宋体" w:cs="宋体"/>
                <w:color w:val="auto"/>
                <w:kern w:val="0"/>
                <w:sz w:val="21"/>
                <w:szCs w:val="21"/>
                <w:lang w:val="en-US" w:eastAsia="zh-CN" w:bidi="ar"/>
              </w:rPr>
              <w:t>18周岁—</w:t>
            </w:r>
            <w:r>
              <w:rPr>
                <w:rFonts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0</w:t>
            </w:r>
            <w:r>
              <w:rPr>
                <w:rFonts w:ascii="宋体" w:hAnsi="宋体" w:eastAsia="宋体" w:cs="宋体"/>
                <w:color w:val="auto"/>
                <w:kern w:val="0"/>
                <w:sz w:val="21"/>
                <w:szCs w:val="21"/>
                <w:lang w:val="en-US" w:eastAsia="zh-CN" w:bidi="ar"/>
              </w:rPr>
              <w:t>周岁及以下</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 </w:t>
            </w:r>
          </w:p>
        </w:tc>
        <w:tc>
          <w:tcPr>
            <w:tcW w:w="780"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4A721E62">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大专及以上学历</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 </w:t>
            </w:r>
          </w:p>
        </w:tc>
        <w:tc>
          <w:tcPr>
            <w:tcW w:w="3099" w:type="dxa"/>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5D972BAB">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color w:val="auto"/>
                <w:sz w:val="18"/>
                <w:szCs w:val="21"/>
              </w:rPr>
            </w:pPr>
            <w:r>
              <w:rPr>
                <w:rFonts w:ascii="宋体" w:hAnsi="宋体" w:eastAsia="宋体" w:cs="宋体"/>
                <w:color w:val="auto"/>
                <w:kern w:val="0"/>
                <w:sz w:val="21"/>
                <w:szCs w:val="21"/>
                <w:lang w:val="en-US" w:eastAsia="zh-CN" w:bidi="ar"/>
              </w:rPr>
              <w:t>1.负责整体发展规划，制定年度发展经营计划并落实各项经营活动的具体实施方案和运营策略;</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2.负责对本村资源进行整合、项目招商、资产运营；</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3.负责管理村集体委托的资产，盘活闲置低效资产，因地制宜发展产业，助力村民就业增收；</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4.组织和管理项目资金和团队；</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5.负责品牌建设、宣传推广和市场营销；</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6.围绕合作社生产经营、创收开展各类工作。</w:t>
            </w:r>
            <w:bookmarkStart w:id="0" w:name="_GoBack"/>
            <w:bookmarkEnd w:id="0"/>
          </w:p>
        </w:tc>
        <w:tc>
          <w:tcPr>
            <w:tcW w:w="0" w:type="auto"/>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7CC5CC9A">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r>
              <w:rPr>
                <w:rFonts w:ascii="宋体" w:hAnsi="宋体" w:eastAsia="宋体" w:cs="宋体"/>
                <w:color w:val="auto"/>
                <w:kern w:val="0"/>
                <w:sz w:val="21"/>
                <w:szCs w:val="21"/>
                <w:lang w:val="en-US" w:eastAsia="zh-CN" w:bidi="ar"/>
              </w:rPr>
              <w:t>1.每年直接带动不低于20名群众稳定就业；</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2.实现村集体经济合作社经营性收入较上年度增长30%以上，其中经营性纯收益增长不低于20%。</w:t>
            </w:r>
            <w:r>
              <w:rPr>
                <w:rFonts w:ascii="宋体" w:hAnsi="宋体" w:eastAsia="宋体" w:cs="宋体"/>
                <w:color w:val="auto"/>
                <w:kern w:val="0"/>
                <w:sz w:val="21"/>
                <w:szCs w:val="21"/>
                <w:lang w:val="en-US" w:eastAsia="zh-CN" w:bidi="ar"/>
              </w:rPr>
              <w:br w:type="textWrapping"/>
            </w:r>
            <w:r>
              <w:rPr>
                <w:rFonts w:ascii="宋体" w:hAnsi="宋体" w:eastAsia="宋体" w:cs="宋体"/>
                <w:color w:val="auto"/>
                <w:kern w:val="0"/>
                <w:sz w:val="21"/>
                <w:szCs w:val="21"/>
                <w:lang w:val="en-US" w:eastAsia="zh-CN" w:bidi="ar"/>
              </w:rPr>
              <w:t> </w:t>
            </w:r>
          </w:p>
        </w:tc>
        <w:tc>
          <w:tcPr>
            <w:tcW w:w="0" w:type="auto"/>
            <w:tcBorders>
              <w:top w:val="single" w:color="45A312" w:sz="6" w:space="0"/>
              <w:left w:val="single" w:color="45A312" w:sz="6" w:space="0"/>
              <w:bottom w:val="single" w:color="45A312" w:sz="6" w:space="0"/>
              <w:right w:val="single" w:color="45A312" w:sz="6" w:space="0"/>
            </w:tcBorders>
            <w:shd w:val="clear" w:color="auto" w:fill="auto"/>
            <w:tcMar>
              <w:top w:w="30" w:type="dxa"/>
              <w:left w:w="30" w:type="dxa"/>
              <w:bottom w:w="30" w:type="dxa"/>
              <w:right w:w="30" w:type="dxa"/>
            </w:tcMar>
            <w:vAlign w:val="center"/>
          </w:tcPr>
          <w:p w14:paraId="233931F2">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20" w:lineRule="exact"/>
              <w:ind w:left="0" w:right="0"/>
              <w:jc w:val="left"/>
              <w:textAlignment w:val="auto"/>
              <w:rPr>
                <w:color w:val="auto"/>
                <w:sz w:val="18"/>
                <w:szCs w:val="21"/>
              </w:rPr>
            </w:pPr>
          </w:p>
        </w:tc>
      </w:tr>
    </w:tbl>
    <w:p w14:paraId="5E9085F6"/>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NTdmNDFlNzVlODdlMzY5ZGYyOTRjNDQ4NWI1ZDcifQ=="/>
  </w:docVars>
  <w:rsids>
    <w:rsidRoot w:val="3AC61611"/>
    <w:rsid w:val="3AC61611"/>
    <w:rsid w:val="44730776"/>
    <w:rsid w:val="482254E2"/>
    <w:rsid w:val="50DB6B76"/>
    <w:rsid w:val="6985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356</Characters>
  <Lines>0</Lines>
  <Paragraphs>0</Paragraphs>
  <TotalTime>0</TotalTime>
  <ScaleCrop>false</ScaleCrop>
  <LinksUpToDate>false</LinksUpToDate>
  <CharactersWithSpaces>363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2024-10-10T08:13:00Z</dcterms:created>
  <dc:creator>穿靴子的猫</dc:creator>
  <cp:lastModifiedBy>穿靴子的猫</cp:lastModifiedBy>
  <dcterms:modified xsi:type="dcterms:W3CDTF">2024-10-10T08:15:46Z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C7EB11585733402D90DE868D0358F215_11</vt:lpwstr>
  </property>
</Properties>
</file>