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textAlignment w:val="baseline"/>
        <w:rPr>
          <w:rFonts w:hint="eastAsia"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2"/>
          <w:szCs w:val="32"/>
        </w:rPr>
        <w:t>附件</w:t>
      </w:r>
    </w:p>
    <w:p>
      <w:pPr>
        <w:snapToGrid w:val="0"/>
        <w:jc w:val="center"/>
        <w:textAlignment w:val="baseline"/>
        <w:rPr>
          <w:rFonts w:hint="default" w:ascii="Times New Roman" w:hAnsi="Times New Roman" w:eastAsia="方正小标宋简体" w:cs="Times New Roman"/>
          <w:color w:val="000000"/>
          <w:sz w:val="36"/>
          <w:szCs w:val="36"/>
        </w:rPr>
      </w:pPr>
      <w:bookmarkStart w:id="0" w:name="OLE_LINK1"/>
      <w:r>
        <w:rPr>
          <w:rFonts w:hint="default" w:ascii="Times New Roman" w:hAnsi="Times New Roman" w:eastAsia="方正小标宋简体" w:cs="Times New Roman"/>
          <w:color w:val="000000"/>
          <w:sz w:val="36"/>
          <w:szCs w:val="36"/>
        </w:rPr>
        <w:t>中国电子</w:t>
      </w:r>
      <w:r>
        <w:rPr>
          <w:rFonts w:hint="eastAsia" w:ascii="Times New Roman" w:hAnsi="Times New Roman" w:eastAsia="方正小标宋简体" w:cs="Times New Roman"/>
          <w:color w:val="000000"/>
          <w:sz w:val="36"/>
          <w:szCs w:val="36"/>
          <w:lang w:val="en-US" w:eastAsia="zh-CN"/>
        </w:rPr>
        <w:t>技术标准化研究</w:t>
      </w:r>
      <w:r>
        <w:rPr>
          <w:rFonts w:hint="default" w:ascii="Times New Roman" w:hAnsi="Times New Roman" w:eastAsia="方正小标宋简体" w:cs="Times New Roman"/>
          <w:color w:val="000000"/>
          <w:sz w:val="36"/>
          <w:szCs w:val="36"/>
        </w:rPr>
        <w:t>院202</w:t>
      </w:r>
      <w:r>
        <w:rPr>
          <w:rFonts w:hint="default" w:ascii="Times New Roman" w:hAnsi="Times New Roman" w:eastAsia="方正小标宋简体" w:cs="Times New Roman"/>
          <w:color w:val="000000"/>
          <w:sz w:val="36"/>
          <w:szCs w:val="36"/>
          <w:lang w:val="en-US" w:eastAsia="zh-CN"/>
        </w:rPr>
        <w:t>4</w:t>
      </w:r>
      <w:r>
        <w:rPr>
          <w:rFonts w:hint="default" w:ascii="Times New Roman" w:hAnsi="Times New Roman" w:eastAsia="方正小标宋简体" w:cs="Times New Roman"/>
          <w:color w:val="000000"/>
          <w:sz w:val="36"/>
          <w:szCs w:val="36"/>
        </w:rPr>
        <w:t>年度第</w:t>
      </w:r>
      <w:r>
        <w:rPr>
          <w:rFonts w:hint="eastAsia" w:ascii="Times New Roman" w:hAnsi="Times New Roman" w:eastAsia="方正小标宋简体" w:cs="Times New Roman"/>
          <w:color w:val="000000"/>
          <w:sz w:val="36"/>
          <w:szCs w:val="36"/>
          <w:lang w:val="en-US" w:eastAsia="zh-CN"/>
        </w:rPr>
        <w:t>二</w:t>
      </w:r>
      <w:r>
        <w:rPr>
          <w:rFonts w:hint="default" w:ascii="Times New Roman" w:hAnsi="Times New Roman" w:eastAsia="方正小标宋简体" w:cs="Times New Roman"/>
          <w:color w:val="000000"/>
          <w:sz w:val="36"/>
          <w:szCs w:val="36"/>
        </w:rPr>
        <w:t>批公开招聘（社会在职人员）职位信息表</w:t>
      </w:r>
    </w:p>
    <w:tbl>
      <w:tblPr>
        <w:tblStyle w:val="4"/>
        <w:tblW w:w="15381" w:type="dxa"/>
        <w:jc w:val="center"/>
        <w:tblLayout w:type="fixed"/>
        <w:tblCellMar>
          <w:top w:w="0" w:type="dxa"/>
          <w:left w:w="108" w:type="dxa"/>
          <w:bottom w:w="0" w:type="dxa"/>
          <w:right w:w="108" w:type="dxa"/>
        </w:tblCellMar>
      </w:tblPr>
      <w:tblGrid>
        <w:gridCol w:w="523"/>
        <w:gridCol w:w="1193"/>
        <w:gridCol w:w="841"/>
        <w:gridCol w:w="4075"/>
        <w:gridCol w:w="637"/>
        <w:gridCol w:w="637"/>
        <w:gridCol w:w="1163"/>
        <w:gridCol w:w="1425"/>
        <w:gridCol w:w="775"/>
        <w:gridCol w:w="526"/>
        <w:gridCol w:w="3586"/>
      </w:tblGrid>
      <w:tr>
        <w:tblPrEx>
          <w:tblCellMar>
            <w:top w:w="0" w:type="dxa"/>
            <w:left w:w="108" w:type="dxa"/>
            <w:bottom w:w="0" w:type="dxa"/>
            <w:right w:w="108" w:type="dxa"/>
          </w:tblCellMar>
        </w:tblPrEx>
        <w:trPr>
          <w:trHeight w:val="411" w:hRule="atLeast"/>
          <w:jc w:val="center"/>
        </w:trPr>
        <w:tc>
          <w:tcPr>
            <w:tcW w:w="523" w:type="dxa"/>
            <w:vMerge w:val="restart"/>
            <w:tcBorders>
              <w:top w:val="single" w:color="000000" w:sz="4" w:space="0"/>
              <w:left w:val="single" w:color="000000" w:sz="4" w:space="0"/>
              <w:right w:val="single" w:color="000000" w:sz="4" w:space="0"/>
            </w:tcBorders>
            <w:vAlign w:val="center"/>
          </w:tcPr>
          <w:p>
            <w:pPr>
              <w:tabs>
                <w:tab w:val="left" w:pos="502"/>
              </w:tabs>
              <w:autoSpaceDN w:val="0"/>
              <w:jc w:val="center"/>
              <w:textAlignment w:val="center"/>
              <w:rPr>
                <w:rFonts w:hint="default"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序号</w:t>
            </w:r>
          </w:p>
        </w:tc>
        <w:tc>
          <w:tcPr>
            <w:tcW w:w="119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单位</w:t>
            </w:r>
          </w:p>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（部门）</w:t>
            </w:r>
          </w:p>
        </w:tc>
        <w:tc>
          <w:tcPr>
            <w:tcW w:w="84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岗位名称</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岗位职责</w:t>
            </w:r>
          </w:p>
        </w:tc>
        <w:tc>
          <w:tcPr>
            <w:tcW w:w="6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szCs w:val="21"/>
              </w:rPr>
              <w:t>招聘人数</w:t>
            </w:r>
          </w:p>
        </w:tc>
        <w:tc>
          <w:tcPr>
            <w:tcW w:w="6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工作地点</w:t>
            </w:r>
          </w:p>
        </w:tc>
        <w:tc>
          <w:tcPr>
            <w:tcW w:w="7475" w:type="dxa"/>
            <w:gridSpan w:val="5"/>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招聘条件</w:t>
            </w:r>
          </w:p>
        </w:tc>
      </w:tr>
      <w:tr>
        <w:tblPrEx>
          <w:tblCellMar>
            <w:top w:w="0" w:type="dxa"/>
            <w:left w:w="108" w:type="dxa"/>
            <w:bottom w:w="0" w:type="dxa"/>
            <w:right w:w="108" w:type="dxa"/>
          </w:tblCellMar>
        </w:tblPrEx>
        <w:trPr>
          <w:trHeight w:val="89" w:hRule="atLeast"/>
          <w:jc w:val="center"/>
        </w:trPr>
        <w:tc>
          <w:tcPr>
            <w:tcW w:w="523"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Cs w:val="21"/>
              </w:rPr>
            </w:pPr>
          </w:p>
        </w:tc>
        <w:tc>
          <w:tcPr>
            <w:tcW w:w="1193"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Cs w:val="21"/>
              </w:rPr>
            </w:pPr>
          </w:p>
        </w:tc>
        <w:tc>
          <w:tcPr>
            <w:tcW w:w="8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Cs w:val="21"/>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Cs w:val="21"/>
              </w:rPr>
            </w:pPr>
          </w:p>
        </w:tc>
        <w:tc>
          <w:tcPr>
            <w:tcW w:w="637"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kern w:val="2"/>
                <w:sz w:val="21"/>
                <w:szCs w:val="21"/>
                <w:lang w:val="en-US" w:eastAsia="zh-CN" w:bidi="ar-SA"/>
              </w:rPr>
            </w:pPr>
          </w:p>
        </w:tc>
        <w:tc>
          <w:tcPr>
            <w:tcW w:w="637"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Cs w:val="21"/>
              </w:rPr>
            </w:pP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招聘范围</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专业</w:t>
            </w:r>
          </w:p>
        </w:tc>
        <w:tc>
          <w:tcPr>
            <w:tcW w:w="7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学历</w:t>
            </w:r>
          </w:p>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学位</w:t>
            </w:r>
          </w:p>
        </w:tc>
        <w:tc>
          <w:tcPr>
            <w:tcW w:w="526" w:type="dxa"/>
            <w:tcBorders>
              <w:top w:val="single" w:color="000000" w:sz="4" w:space="0"/>
              <w:left w:val="single" w:color="000000" w:sz="4" w:space="0"/>
              <w:bottom w:val="single" w:color="000000" w:sz="4" w:space="0"/>
              <w:right w:val="single" w:color="000000" w:sz="4" w:space="0"/>
            </w:tcBorders>
            <w:vAlign w:val="center"/>
          </w:tcPr>
          <w:p>
            <w:pPr>
              <w:autoSpaceDN w:val="0"/>
              <w:ind w:right="29" w:rightChars="14"/>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户籍</w:t>
            </w:r>
          </w:p>
        </w:tc>
        <w:tc>
          <w:tcPr>
            <w:tcW w:w="3586" w:type="dxa"/>
            <w:tcBorders>
              <w:left w:val="single" w:color="000000" w:sz="4" w:space="0"/>
              <w:right w:val="single" w:color="auto" w:sz="4" w:space="0"/>
            </w:tcBorders>
            <w:vAlign w:val="center"/>
          </w:tcPr>
          <w:p>
            <w:pPr>
              <w:autoSpaceDN w:val="0"/>
              <w:jc w:val="center"/>
              <w:textAlignment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其他条件</w:t>
            </w:r>
          </w:p>
        </w:tc>
      </w:tr>
      <w:tr>
        <w:tblPrEx>
          <w:tblCellMar>
            <w:top w:w="0" w:type="dxa"/>
            <w:left w:w="108" w:type="dxa"/>
            <w:bottom w:w="0" w:type="dxa"/>
            <w:right w:w="108" w:type="dxa"/>
          </w:tblCellMar>
        </w:tblPrEx>
        <w:trPr>
          <w:trHeight w:val="2346" w:hRule="atLeast"/>
          <w:jc w:val="center"/>
        </w:trPr>
        <w:tc>
          <w:tcPr>
            <w:tcW w:w="52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w:t>
            </w:r>
          </w:p>
        </w:tc>
        <w:tc>
          <w:tcPr>
            <w:tcW w:w="119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华东分院</w:t>
            </w:r>
          </w:p>
        </w:tc>
        <w:tc>
          <w:tcPr>
            <w:tcW w:w="84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kern w:val="2"/>
                <w:sz w:val="21"/>
                <w:szCs w:val="21"/>
                <w:lang w:val="en-US" w:eastAsia="zh-CN" w:bidi="ar-SA"/>
              </w:rPr>
              <w:t>管理总监岗</w:t>
            </w:r>
          </w:p>
        </w:tc>
        <w:tc>
          <w:tcPr>
            <w:tcW w:w="40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1.负责面向华东地区开展工业和信息化相关领域标准化战略和规划研究，提出政策建议，提供技术、咨询和培训服务；</w:t>
            </w: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2.负责承担华东地区电子信息产品标准化和公共服务平台建设工作；</w:t>
            </w: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3.代表院与华东地区政府部门、行业组织、其他研究机构和企业建立合作关系，提升院区域影响力和知名度；</w:t>
            </w: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4.主持制定华东地区相关科研项目的决策推进工作；</w:t>
            </w: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5.负责相关规章制度建设、人才队伍建设及各项日常管理工作；</w:t>
            </w:r>
          </w:p>
          <w:p>
            <w:pPr>
              <w:keepNext w:val="0"/>
              <w:keepLines w:val="0"/>
              <w:pageBreakBefore w:val="0"/>
              <w:widowControl w:val="0"/>
              <w:numPr>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6.</w:t>
            </w:r>
            <w:r>
              <w:rPr>
                <w:rFonts w:hint="default" w:ascii="Times New Roman" w:hAnsi="Times New Roman" w:eastAsia="仿宋" w:cs="Times New Roman"/>
                <w:color w:val="000000"/>
                <w:szCs w:val="21"/>
                <w:lang w:val="en-US" w:eastAsia="zh-CN"/>
              </w:rPr>
              <w:t>行使相关法律规定的其他职权</w:t>
            </w:r>
            <w:r>
              <w:rPr>
                <w:rFonts w:hint="eastAsia" w:ascii="Times New Roman" w:hAnsi="Times New Roman" w:eastAsia="仿宋"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Chars="0"/>
              <w:textAlignment w:val="auto"/>
              <w:rPr>
                <w:rFonts w:hint="eastAsia" w:ascii="Times New Roman" w:hAnsi="Times New Roman" w:eastAsia="仿宋" w:cs="Times New Roman"/>
                <w:color w:val="000000"/>
                <w:kern w:val="2"/>
                <w:sz w:val="21"/>
                <w:szCs w:val="21"/>
                <w:lang w:val="en-US" w:eastAsia="zh-CN" w:bidi="ar-SA"/>
              </w:rPr>
            </w:pP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1</w:t>
            </w: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江苏</w:t>
            </w:r>
          </w:p>
        </w:tc>
        <w:tc>
          <w:tcPr>
            <w:tcW w:w="116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Cs w:val="21"/>
              </w:rPr>
              <w:t>社会在职人员</w:t>
            </w:r>
          </w:p>
        </w:tc>
        <w:tc>
          <w:tcPr>
            <w:tcW w:w="14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Hans" w:bidi="ar-SA"/>
              </w:rPr>
            </w:pPr>
            <w:r>
              <w:rPr>
                <w:rFonts w:hint="eastAsia" w:ascii="Times New Roman" w:hAnsi="Times New Roman" w:eastAsia="仿宋" w:cs="Times New Roman"/>
                <w:color w:val="000000"/>
                <w:szCs w:val="21"/>
                <w:lang w:val="en-US" w:eastAsia="zh-CN"/>
              </w:rPr>
              <w:t>电子信息、软件工程</w:t>
            </w:r>
            <w:r>
              <w:rPr>
                <w:rFonts w:hint="default" w:ascii="Times New Roman" w:hAnsi="Times New Roman" w:eastAsia="仿宋" w:cs="Times New Roman"/>
                <w:color w:val="000000"/>
                <w:szCs w:val="21"/>
                <w:lang w:val="en-US" w:eastAsia="zh-CN"/>
              </w:rPr>
              <w:t>、</w:t>
            </w:r>
            <w:r>
              <w:rPr>
                <w:rFonts w:hint="eastAsia" w:ascii="Times New Roman" w:hAnsi="Times New Roman" w:eastAsia="仿宋" w:cs="Times New Roman"/>
                <w:color w:val="000000"/>
                <w:szCs w:val="21"/>
                <w:lang w:val="en-US" w:eastAsia="zh-CN"/>
              </w:rPr>
              <w:t>电子工程、计算机工程、</w:t>
            </w:r>
            <w:r>
              <w:rPr>
                <w:rFonts w:hint="default" w:ascii="Times New Roman" w:hAnsi="Times New Roman" w:eastAsia="仿宋" w:cs="Times New Roman"/>
                <w:color w:val="000000"/>
                <w:szCs w:val="21"/>
                <w:lang w:val="en-US" w:eastAsia="zh-CN"/>
              </w:rPr>
              <w:t>电子科学与技术等相关专业</w:t>
            </w:r>
          </w:p>
        </w:tc>
        <w:tc>
          <w:tcPr>
            <w:tcW w:w="7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Hans" w:bidi="ar-SA"/>
              </w:rPr>
            </w:pPr>
            <w:r>
              <w:rPr>
                <w:rFonts w:hint="eastAsia" w:ascii="Times New Roman" w:hAnsi="Times New Roman" w:eastAsia="仿宋" w:cs="Times New Roman"/>
                <w:color w:val="000000"/>
                <w:szCs w:val="21"/>
                <w:lang w:val="en-US" w:eastAsia="zh-CN"/>
              </w:rPr>
              <w:t>本科及以上</w:t>
            </w:r>
          </w:p>
        </w:tc>
        <w:tc>
          <w:tcPr>
            <w:tcW w:w="52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不限</w:t>
            </w:r>
          </w:p>
        </w:tc>
        <w:tc>
          <w:tcPr>
            <w:tcW w:w="358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1.十年及以上企业高层管理从业经验；</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2.熟悉标准化相关知识，参与国家标准制修订工作，有标准应用推广的实施经验；</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3.熟悉华东地区信息技术标准化工作领域产业、行业政策；</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4.具有工业和信息化领域产业研究、政策制定等从业经验，有主持实施重大项目的咨询设计、系统建设、运行维护的经验；</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5.具有良好的战略规划能力、决策能力、管理能力与沟通合作能力；</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6.主持和参与过信息化领域政府专项和课题、具有工业和信息化领域的授权发明专利且成果形成较好的市场应用、获得过工业和信息化领域相关资质的人员优先。</w:t>
            </w:r>
          </w:p>
        </w:tc>
      </w:tr>
      <w:tr>
        <w:tblPrEx>
          <w:tblCellMar>
            <w:top w:w="0" w:type="dxa"/>
            <w:left w:w="108" w:type="dxa"/>
            <w:bottom w:w="0" w:type="dxa"/>
            <w:right w:w="108" w:type="dxa"/>
          </w:tblCellMar>
        </w:tblPrEx>
        <w:trPr>
          <w:trHeight w:val="2346" w:hRule="atLeast"/>
          <w:jc w:val="center"/>
        </w:trPr>
        <w:tc>
          <w:tcPr>
            <w:tcW w:w="52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w:t>
            </w:r>
          </w:p>
        </w:tc>
        <w:tc>
          <w:tcPr>
            <w:tcW w:w="119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信息技术中心</w:t>
            </w:r>
          </w:p>
        </w:tc>
        <w:tc>
          <w:tcPr>
            <w:tcW w:w="84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kern w:val="2"/>
                <w:sz w:val="21"/>
                <w:szCs w:val="21"/>
                <w:lang w:val="en-US" w:eastAsia="zh-CN" w:bidi="ar-SA"/>
              </w:rPr>
            </w:pPr>
            <w:r>
              <w:rPr>
                <w:rFonts w:hint="eastAsia" w:ascii="Times New Roman" w:hAnsi="Times New Roman" w:eastAsia="仿宋" w:cs="Times New Roman"/>
                <w:color w:val="000000"/>
                <w:szCs w:val="21"/>
                <w:lang w:val="en-US" w:eastAsia="zh-CN"/>
              </w:rPr>
              <w:t>标准科研岗</w:t>
            </w:r>
          </w:p>
        </w:tc>
        <w:tc>
          <w:tcPr>
            <w:tcW w:w="40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1.开展国内外人工智能算法研究，重点开展计算机视觉、情感计算等算法标准化工作；</w:t>
            </w:r>
            <w:r>
              <w:rPr>
                <w:rFonts w:hint="eastAsia" w:ascii="Times New Roman" w:hAnsi="Times New Roman" w:eastAsia="仿宋" w:cs="Times New Roman"/>
                <w:color w:val="000000"/>
                <w:szCs w:val="21"/>
                <w:lang w:val="en-US" w:eastAsia="zh-CN"/>
              </w:rPr>
              <w:br w:type="textWrapping"/>
            </w:r>
            <w:r>
              <w:rPr>
                <w:rFonts w:hint="eastAsia" w:ascii="Times New Roman" w:hAnsi="Times New Roman" w:eastAsia="仿宋" w:cs="Times New Roman"/>
                <w:color w:val="000000"/>
                <w:szCs w:val="21"/>
                <w:lang w:val="en-US" w:eastAsia="zh-CN"/>
              </w:rPr>
              <w:t>2.可独立承担人工智能算法相关</w:t>
            </w:r>
            <w:r>
              <w:rPr>
                <w:rFonts w:hint="default" w:ascii="Times New Roman" w:hAnsi="Times New Roman" w:eastAsia="仿宋" w:cs="Times New Roman"/>
                <w:color w:val="000000"/>
                <w:szCs w:val="21"/>
                <w:lang w:val="en-US" w:eastAsia="zh-CN"/>
              </w:rPr>
              <w:t>国家级课题</w:t>
            </w:r>
            <w:r>
              <w:rPr>
                <w:rFonts w:hint="eastAsia" w:ascii="Times New Roman" w:hAnsi="Times New Roman" w:eastAsia="仿宋" w:cs="Times New Roman"/>
                <w:color w:val="000000"/>
                <w:szCs w:val="21"/>
                <w:lang w:val="en-US" w:eastAsia="zh-CN"/>
              </w:rPr>
              <w:t>、</w:t>
            </w:r>
            <w:r>
              <w:rPr>
                <w:rFonts w:hint="default" w:ascii="Times New Roman" w:hAnsi="Times New Roman" w:eastAsia="仿宋" w:cs="Times New Roman"/>
                <w:color w:val="000000"/>
                <w:szCs w:val="21"/>
                <w:lang w:val="en-US" w:eastAsia="zh-CN"/>
              </w:rPr>
              <w:t>标准</w:t>
            </w:r>
            <w:r>
              <w:rPr>
                <w:rFonts w:hint="eastAsia" w:ascii="Times New Roman" w:hAnsi="Times New Roman" w:eastAsia="仿宋" w:cs="Times New Roman"/>
                <w:color w:val="000000"/>
                <w:szCs w:val="21"/>
                <w:lang w:val="en-US" w:eastAsia="zh-CN"/>
              </w:rPr>
              <w:t>工作</w:t>
            </w:r>
            <w:r>
              <w:rPr>
                <w:rFonts w:hint="default" w:ascii="Times New Roman" w:hAnsi="Times New Roman" w:eastAsia="仿宋"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3.负责人工智能算法相关</w:t>
            </w:r>
            <w:r>
              <w:rPr>
                <w:rFonts w:hint="default" w:ascii="Times New Roman" w:hAnsi="Times New Roman" w:eastAsia="仿宋" w:cs="Times New Roman"/>
                <w:color w:val="000000"/>
                <w:szCs w:val="21"/>
                <w:lang w:val="en-US" w:eastAsia="zh-CN"/>
              </w:rPr>
              <w:t>产业研究、政策制定、研究报告</w:t>
            </w:r>
            <w:r>
              <w:rPr>
                <w:rFonts w:hint="eastAsia" w:ascii="Times New Roman" w:hAnsi="Times New Roman" w:eastAsia="仿宋" w:cs="Times New Roman"/>
                <w:color w:val="000000"/>
                <w:szCs w:val="21"/>
                <w:lang w:val="en-US" w:eastAsia="zh-CN"/>
              </w:rPr>
              <w:t>的编写；</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4.完成领导交办的其它工作。</w:t>
            </w: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w:t>
            </w: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北京</w:t>
            </w:r>
          </w:p>
        </w:tc>
        <w:tc>
          <w:tcPr>
            <w:tcW w:w="116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社会在职人员</w:t>
            </w:r>
          </w:p>
        </w:tc>
        <w:tc>
          <w:tcPr>
            <w:tcW w:w="14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人工智能、</w:t>
            </w:r>
            <w:r>
              <w:rPr>
                <w:rFonts w:hint="default" w:ascii="Times New Roman" w:hAnsi="Times New Roman" w:eastAsia="仿宋" w:cs="Times New Roman"/>
                <w:color w:val="000000"/>
                <w:szCs w:val="21"/>
                <w:lang w:val="en-US" w:eastAsia="zh-CN"/>
              </w:rPr>
              <w:t>信息与通信工程、计算机科学与技术、智能科学与技术等相关专业</w:t>
            </w:r>
          </w:p>
        </w:tc>
        <w:tc>
          <w:tcPr>
            <w:tcW w:w="7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硕士</w:t>
            </w:r>
            <w:r>
              <w:rPr>
                <w:rFonts w:hint="default" w:ascii="Times New Roman" w:hAnsi="Times New Roman" w:eastAsia="仿宋" w:cs="Times New Roman"/>
                <w:color w:val="000000"/>
                <w:szCs w:val="21"/>
                <w:lang w:val="en-US" w:eastAsia="zh-Hans"/>
              </w:rPr>
              <w:t>研究生及以上</w:t>
            </w:r>
          </w:p>
        </w:tc>
        <w:tc>
          <w:tcPr>
            <w:tcW w:w="52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北京</w:t>
            </w:r>
          </w:p>
        </w:tc>
        <w:tc>
          <w:tcPr>
            <w:tcW w:w="358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1.三年及以上相关工作经验；</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Chars="0"/>
              <w:jc w:val="lef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2.熟练掌握使用编程语言</w:t>
            </w:r>
            <w:r>
              <w:rPr>
                <w:rFonts w:hint="default" w:ascii="Times New Roman" w:hAnsi="Times New Roman" w:eastAsia="仿宋" w:cs="Times New Roman"/>
                <w:color w:val="000000"/>
                <w:szCs w:val="21"/>
                <w:lang w:val="en-US" w:eastAsia="zh-CN"/>
              </w:rPr>
              <w:t>以及相关的算法和数据结构知识</w:t>
            </w:r>
            <w:r>
              <w:rPr>
                <w:rFonts w:hint="eastAsia" w:ascii="Times New Roman" w:hAnsi="Times New Roman" w:eastAsia="仿宋" w:cs="Times New Roman"/>
                <w:color w:val="000000"/>
                <w:szCs w:val="21"/>
                <w:lang w:val="en-US" w:eastAsia="zh-CN"/>
              </w:rPr>
              <w:t>，熟悉深度学习框架以及</w:t>
            </w:r>
            <w:r>
              <w:rPr>
                <w:rFonts w:hint="default" w:ascii="Times New Roman" w:hAnsi="Times New Roman" w:eastAsia="仿宋" w:cs="Times New Roman"/>
                <w:color w:val="000000"/>
                <w:szCs w:val="21"/>
                <w:lang w:val="en-US" w:eastAsia="zh-CN"/>
              </w:rPr>
              <w:t>在解决计算机视觉问题中的应用</w:t>
            </w:r>
            <w:r>
              <w:rPr>
                <w:rFonts w:hint="eastAsia" w:ascii="Times New Roman" w:hAnsi="Times New Roman" w:eastAsia="仿宋" w:cs="Times New Roman"/>
                <w:color w:val="000000"/>
                <w:szCs w:val="21"/>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3.具有国家级人工智能或算法开发的项目经验，具有相关发明专利的人员优先；</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Chars="0"/>
              <w:jc w:val="lef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4.具有扎实的数学基础，参与过全国性数学建模大赛、计算机大赛并获奖的人员优先；</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Chars="0"/>
              <w:jc w:val="lef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5.具有良好的学习能力、研究创新能力、沟通表达能力、分析解决问题能力、文字撰写能力及团队合作精神。</w:t>
            </w:r>
          </w:p>
        </w:tc>
      </w:tr>
      <w:tr>
        <w:tblPrEx>
          <w:tblCellMar>
            <w:top w:w="0" w:type="dxa"/>
            <w:left w:w="108" w:type="dxa"/>
            <w:bottom w:w="0" w:type="dxa"/>
            <w:right w:w="108" w:type="dxa"/>
          </w:tblCellMar>
        </w:tblPrEx>
        <w:trPr>
          <w:trHeight w:val="2346" w:hRule="atLeast"/>
          <w:jc w:val="center"/>
        </w:trPr>
        <w:tc>
          <w:tcPr>
            <w:tcW w:w="52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w:t>
            </w:r>
          </w:p>
        </w:tc>
        <w:tc>
          <w:tcPr>
            <w:tcW w:w="119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行业管理促进中心</w:t>
            </w:r>
          </w:p>
        </w:tc>
        <w:tc>
          <w:tcPr>
            <w:tcW w:w="84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标准制修订与技术组织管理岗</w:t>
            </w:r>
          </w:p>
        </w:tc>
        <w:tc>
          <w:tcPr>
            <w:tcW w:w="40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1.负责开展国家标准、行业标准制修订计划管理；</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2.负责开展标准技术组织秘书处归口管理，统筹推进院全国标委会和行业标委会筹组建、换届相关工作；</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3.参与院内标准技术组织标准立项、重点标准制定、标准体系建立完善、标准宣贯实施等各项工作；</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4.参与院新产业标准化领航工程相关标准及技术组织动态信息收集、院网跟踪发布等工作；</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5.参与行业标准化战略、规划、法律法规和政策的研究，支撑上级机关开展标准化战略和政策研究，发挥标准化智库作用；</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6.完成领导交办的其他任务。</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textAlignment w:val="auto"/>
              <w:rPr>
                <w:rFonts w:hint="eastAsia" w:ascii="Times New Roman" w:hAnsi="Times New Roman" w:eastAsia="仿宋" w:cs="Times New Roman"/>
                <w:color w:val="000000"/>
                <w:szCs w:val="21"/>
                <w:lang w:val="en-US" w:eastAsia="zh-CN"/>
              </w:rPr>
            </w:pP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w:t>
            </w:r>
          </w:p>
        </w:tc>
        <w:tc>
          <w:tcPr>
            <w:tcW w:w="6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北京</w:t>
            </w:r>
          </w:p>
        </w:tc>
        <w:tc>
          <w:tcPr>
            <w:tcW w:w="116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rPr>
            </w:pPr>
            <w:r>
              <w:rPr>
                <w:rFonts w:hint="default" w:ascii="Times New Roman" w:hAnsi="Times New Roman" w:eastAsia="仿宋" w:cs="Times New Roman"/>
                <w:color w:val="000000"/>
                <w:szCs w:val="21"/>
              </w:rPr>
              <w:t>社会在职人员</w:t>
            </w:r>
          </w:p>
        </w:tc>
        <w:tc>
          <w:tcPr>
            <w:tcW w:w="14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公共管理、电子科学与技术、信息与通信工程、计算机科学与技术、教育学、统计学</w:t>
            </w:r>
            <w:r>
              <w:rPr>
                <w:rFonts w:hint="eastAsia" w:ascii="Times New Roman" w:hAnsi="Times New Roman" w:eastAsia="仿宋" w:cs="Times New Roman"/>
                <w:color w:val="000000"/>
                <w:szCs w:val="21"/>
                <w:lang w:val="en-US" w:eastAsia="zh-CN"/>
              </w:rPr>
              <w:t>等相关专业</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p>
        </w:tc>
        <w:tc>
          <w:tcPr>
            <w:tcW w:w="7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Hans"/>
              </w:rPr>
            </w:pPr>
            <w:r>
              <w:rPr>
                <w:rFonts w:hint="eastAsia" w:ascii="Times New Roman" w:hAnsi="Times New Roman" w:eastAsia="仿宋" w:cs="Times New Roman"/>
                <w:color w:val="000000"/>
                <w:szCs w:val="21"/>
                <w:lang w:val="en-US" w:eastAsia="zh-CN"/>
              </w:rPr>
              <w:t>硕士</w:t>
            </w:r>
            <w:r>
              <w:rPr>
                <w:rFonts w:hint="default" w:ascii="Times New Roman" w:hAnsi="Times New Roman" w:eastAsia="仿宋" w:cs="Times New Roman"/>
                <w:color w:val="000000"/>
                <w:szCs w:val="21"/>
                <w:lang w:val="en-US" w:eastAsia="zh-Hans"/>
              </w:rPr>
              <w:t>研究生及以上</w:t>
            </w:r>
          </w:p>
        </w:tc>
        <w:tc>
          <w:tcPr>
            <w:tcW w:w="52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ind w:left="0" w:leftChars="0" w:firstLine="0" w:firstLineChars="0"/>
              <w:jc w:val="center"/>
              <w:textAlignment w:val="auto"/>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北京</w:t>
            </w:r>
          </w:p>
        </w:tc>
        <w:tc>
          <w:tcPr>
            <w:tcW w:w="358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1.三年及以上标准化管理或质量体系管理工作经验，有相关国家机构工作经历者优先；</w:t>
            </w:r>
            <w:bookmarkStart w:id="1" w:name="_GoBack"/>
            <w:bookmarkEnd w:id="1"/>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2.熟悉标准立项、制定、编写、送审、报批、宣贯实施等全流程工作；</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3.具有开展国家标准、地方标准、行业标准管理、标准编写及标准审查评估工作经验；</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4.具有较强的文字写作能力和较好的组织与管理能力；</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5.参与过地方或行业标准化战略规划和政策研究的优先；</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6.中共党员优先；</w:t>
            </w:r>
          </w:p>
          <w:p>
            <w:pPr>
              <w:keepNext w:val="0"/>
              <w:keepLines w:val="0"/>
              <w:pageBreakBefore w:val="0"/>
              <w:widowControl w:val="0"/>
              <w:numPr>
                <w:ilvl w:val="0"/>
                <w:numId w:val="0"/>
              </w:numPr>
              <w:kinsoku/>
              <w:wordWrap/>
              <w:overflowPunct/>
              <w:topLinePunct w:val="0"/>
              <w:autoSpaceDE/>
              <w:autoSpaceDN w:val="0"/>
              <w:bidi w:val="0"/>
              <w:adjustRightInd/>
              <w:snapToGrid/>
              <w:spacing w:line="260" w:lineRule="exact"/>
              <w:textAlignment w:val="auto"/>
              <w:rPr>
                <w:rFonts w:hint="eastAsia"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7.CET-6及以上优先。</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NTViZTQxNGMyYWYwYjJjZjY2MzU1NDFmNzU2ZTYifQ=="/>
  </w:docVars>
  <w:rsids>
    <w:rsidRoot w:val="15950481"/>
    <w:rsid w:val="122E577A"/>
    <w:rsid w:val="15950481"/>
    <w:rsid w:val="1F6E5A1B"/>
    <w:rsid w:val="273C2F1C"/>
    <w:rsid w:val="2EC67BCD"/>
    <w:rsid w:val="36171830"/>
    <w:rsid w:val="39754ED6"/>
    <w:rsid w:val="3FED353F"/>
    <w:rsid w:val="415B0960"/>
    <w:rsid w:val="41856BB1"/>
    <w:rsid w:val="4BA375B2"/>
    <w:rsid w:val="56D76E9D"/>
    <w:rsid w:val="6308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1392</Words>
  <Characters>1428</Characters>
  <Lines>0</Lines>
  <Paragraphs>0</Paragraphs>
  <TotalTime>15</TotalTime>
  <ScaleCrop>false</ScaleCrop>
  <LinksUpToDate>false</LinksUpToDate>
  <CharactersWithSpaces>1429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2024-03-12T01:28:00Z</dcterms:created>
  <dc:creator>杨瀚森</dc:creator>
  <cp:lastModifiedBy>孙嘉阳</cp:lastModifiedBy>
  <cp:lastPrinted>2024-05-23T00:26:00Z</cp:lastPrinted>
  <dcterms:modified xsi:type="dcterms:W3CDTF">2024-06-27T06:38:33Z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03A4BF1F1369404E98930C6BB957E7F9_13</vt:lpwstr>
  </property>
</Properties>
</file>